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pPr>
        <w:ind w:left="7371"/>
      </w:pPr>
      <w:r>
        <w:t>УТВЕРЖДЕНА</w:t>
      </w:r>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распоряжения Правительства РФ </w:t>
      </w:r>
      <w:r w:rsidR="00D2567B">
        <w:rPr>
          <w:sz w:val="16"/>
          <w:szCs w:val="16"/>
        </w:rPr>
        <w:br/>
        <w:t>от 27.03.2019 № 543-р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bookmarkStart w:id="0" w:name="_GoBack"/>
      <w:r>
        <w:rPr>
          <w:b/>
          <w:bCs/>
          <w:sz w:val="26"/>
          <w:szCs w:val="26"/>
        </w:rPr>
        <w:t>АНКЕТА</w:t>
      </w:r>
    </w:p>
    <w:bookmarkEnd w:id="0"/>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blPrEx>
          <w:tblCellMar>
            <w:top w:w="0" w:type="dxa"/>
            <w:bottom w:w="0" w:type="dxa"/>
          </w:tblCellMar>
        </w:tblPrEx>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82EBE" w:rsidRDefault="00382EBE">
            <w:pPr>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blPrEx>
          <w:tblCellMar>
            <w:top w:w="0" w:type="dxa"/>
            <w:bottom w:w="0" w:type="dxa"/>
          </w:tblCellMar>
        </w:tblPrEx>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blPrEx>
          <w:tblCellMar>
            <w:top w:w="0" w:type="dxa"/>
            <w:bottom w:w="0" w:type="dxa"/>
          </w:tblCellMar>
        </w:tblPrEx>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blPrEx>
          <w:tblCellMar>
            <w:top w:w="0" w:type="dxa"/>
            <w:bottom w:w="0" w:type="dxa"/>
          </w:tblCellMar>
        </w:tblPrEx>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3044EB" w:rsidRDefault="00382EBE">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sidR="00AB106B" w:rsidRPr="003044E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blPrEx>
          <w:tblCellMar>
            <w:top w:w="0" w:type="dxa"/>
            <w:bottom w:w="0" w:type="dxa"/>
          </w:tblCellMar>
        </w:tblPrEx>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blPrEx>
          <w:tblCellMar>
            <w:top w:w="0" w:type="dxa"/>
            <w:bottom w:w="0" w:type="dxa"/>
          </w:tblCellMar>
        </w:tblPrEx>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blPrEx>
          <w:tblCellMar>
            <w:top w:w="0" w:type="dxa"/>
            <w:bottom w:w="0" w:type="dxa"/>
          </w:tblCellMar>
        </w:tblPrEx>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3B3" w:rsidRDefault="002563B3">
      <w:r>
        <w:separator/>
      </w:r>
    </w:p>
  </w:endnote>
  <w:endnote w:type="continuationSeparator" w:id="0">
    <w:p w:rsidR="002563B3" w:rsidRDefault="0025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3B3" w:rsidRDefault="002563B3">
      <w:r>
        <w:separator/>
      </w:r>
    </w:p>
  </w:footnote>
  <w:footnote w:type="continuationSeparator" w:id="0">
    <w:p w:rsidR="002563B3" w:rsidRDefault="0025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180BBA"/>
    <w:rsid w:val="00250F57"/>
    <w:rsid w:val="002563B3"/>
    <w:rsid w:val="003044EB"/>
    <w:rsid w:val="00374E5B"/>
    <w:rsid w:val="00382EBE"/>
    <w:rsid w:val="00407DED"/>
    <w:rsid w:val="00627942"/>
    <w:rsid w:val="00737B51"/>
    <w:rsid w:val="0078012B"/>
    <w:rsid w:val="00990325"/>
    <w:rsid w:val="00A505AE"/>
    <w:rsid w:val="00AB106B"/>
    <w:rsid w:val="00B86AD5"/>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9A8670-E03A-4BA7-9E83-31FF43F8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Елизавета Ноздреватых</cp:lastModifiedBy>
  <cp:revision>2</cp:revision>
  <cp:lastPrinted>2005-05-31T13:45:00Z</cp:lastPrinted>
  <dcterms:created xsi:type="dcterms:W3CDTF">2019-08-28T13:40:00Z</dcterms:created>
  <dcterms:modified xsi:type="dcterms:W3CDTF">2019-08-28T13:40:00Z</dcterms:modified>
</cp:coreProperties>
</file>