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C22B25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>ального образования  город Тула</w:t>
      </w:r>
    </w:p>
    <w:p w:rsidR="009A5C71" w:rsidRPr="00880458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за 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>Отчет администрации города Тулы об исполнении бюджета направлен в контрольную комиссию 30 июля 2014 года с полным перечнем документов.</w:t>
      </w:r>
    </w:p>
    <w:p w:rsidR="00C22B25" w:rsidRPr="00C22B25" w:rsidRDefault="00C22B25" w:rsidP="00C22B25">
      <w:pPr>
        <w:pStyle w:val="a3"/>
      </w:pPr>
      <w:r w:rsidRPr="00C22B25">
        <w:t>Доходная часть бюджета города исполнена на 47,1 % в сумме 4 млрд. 979 млн</w:t>
      </w:r>
      <w:proofErr w:type="gramStart"/>
      <w:r w:rsidRPr="00C22B25">
        <w:t>.р</w:t>
      </w:r>
      <w:proofErr w:type="gramEnd"/>
      <w:r w:rsidRPr="00C22B25">
        <w:t>уб., расходная часть на 39,7 % в сумме 4 млрд.</w:t>
      </w:r>
      <w:r>
        <w:t xml:space="preserve"> 746 млн.рублей</w:t>
      </w:r>
      <w:r w:rsidRPr="00C22B25">
        <w:t xml:space="preserve">. Бюджет города исполнен с </w:t>
      </w:r>
      <w:proofErr w:type="spellStart"/>
      <w:r w:rsidRPr="00C22B25">
        <w:t>профицитом</w:t>
      </w:r>
      <w:proofErr w:type="spellEnd"/>
      <w:r w:rsidRPr="00C22B25">
        <w:t xml:space="preserve"> 233 млн.руб</w:t>
      </w:r>
      <w:r>
        <w:t>лей</w:t>
      </w:r>
      <w:r w:rsidRPr="00C22B25">
        <w:t>.</w:t>
      </w:r>
    </w:p>
    <w:p w:rsidR="00C22B25" w:rsidRPr="00C22B25" w:rsidRDefault="00C22B25" w:rsidP="00C22B25">
      <w:pPr>
        <w:pStyle w:val="a3"/>
      </w:pPr>
      <w:r w:rsidRPr="00C22B25">
        <w:t>В доходах бюджета муниципального образования г</w:t>
      </w:r>
      <w:proofErr w:type="gramStart"/>
      <w:r w:rsidRPr="00C22B25">
        <w:t>.Т</w:t>
      </w:r>
      <w:proofErr w:type="gramEnd"/>
      <w:r w:rsidRPr="00C22B25">
        <w:t xml:space="preserve">ула присутствуют источники доходов как с положительной, так и с отрицательной динамикой исполнения по отношению к аналогичным показателям 1 полугодия 2013 года. Структурный анализ исполнения доходной части показывает незначительное смещение удельной доли исполнения доходной части бюджета в сторону безвозмездных поступлений. </w:t>
      </w:r>
    </w:p>
    <w:p w:rsidR="00C22B25" w:rsidRPr="00C22B25" w:rsidRDefault="00C22B25" w:rsidP="00C22B25">
      <w:pPr>
        <w:pStyle w:val="a3"/>
      </w:pPr>
      <w:r w:rsidRPr="00C22B25">
        <w:t>Анализ расход</w:t>
      </w:r>
      <w:r w:rsidR="0070204D">
        <w:t>ной части</w:t>
      </w:r>
      <w:r w:rsidRPr="00C22B25">
        <w:t xml:space="preserve"> бюджета по разделам выявил низкий процент исполнения в части раздела 11 «Физическая культура и спорт» - 15 % и раздела </w:t>
      </w:r>
      <w:r w:rsidR="0070204D">
        <w:t xml:space="preserve">     </w:t>
      </w:r>
      <w:r w:rsidRPr="00C22B25">
        <w:t xml:space="preserve">05 «Жилищно-коммунальное хозяйство» - 27 %. Расходы по данным разделам являются в большей степени программными. </w:t>
      </w:r>
    </w:p>
    <w:p w:rsidR="00C22B25" w:rsidRPr="00C22B25" w:rsidRDefault="00C22B25" w:rsidP="00C22B25">
      <w:pPr>
        <w:pStyle w:val="a3"/>
      </w:pPr>
      <w:r w:rsidRPr="00C22B25">
        <w:t xml:space="preserve">В 2014 году в бюджете города запланировано исполнение 15 муниципальных программ. На 01.07.2014 восемь программ профинансированы в объеме свыше 30%, пять программ свыше 20 %, две программы до 2%. Причинами </w:t>
      </w:r>
      <w:proofErr w:type="spellStart"/>
      <w:r w:rsidRPr="00C22B25">
        <w:t>неосвоения</w:t>
      </w:r>
      <w:proofErr w:type="spellEnd"/>
      <w:r w:rsidRPr="00C22B25">
        <w:t xml:space="preserve"> бюджетных ассигнований являются длительные сроки исполнения работ, включенных в программы, а так же календарные планы мероприятий, согласно которым основные мероприятия приходятся на 2 полугодие 2014 года.</w:t>
      </w:r>
    </w:p>
    <w:p w:rsidR="00C22B25" w:rsidRPr="00C22B25" w:rsidRDefault="00C22B25" w:rsidP="00C22B25">
      <w:pPr>
        <w:pStyle w:val="a3"/>
      </w:pPr>
      <w:r w:rsidRPr="00C22B25">
        <w:t>В отчетном периоде из резервного фонда постановлениями главы Администрации выделено   25,4 млн</w:t>
      </w:r>
      <w:proofErr w:type="gramStart"/>
      <w:r w:rsidRPr="00C22B25">
        <w:t>.р</w:t>
      </w:r>
      <w:proofErr w:type="gramEnd"/>
      <w:r w:rsidRPr="00C22B25">
        <w:t>уб. Остаток нераспределенных ассигнований составляет 3,6 млн.руб</w:t>
      </w:r>
      <w:r w:rsidR="00251BC6">
        <w:t>лей</w:t>
      </w:r>
      <w:r w:rsidRPr="00C22B25">
        <w:t xml:space="preserve">. В отчетном периоде средства дорожного фонда в сумме 33,2 млн.руб. не расходовались. </w:t>
      </w:r>
    </w:p>
    <w:p w:rsidR="0070204D" w:rsidRDefault="00C22B25" w:rsidP="00C22B25">
      <w:pPr>
        <w:pStyle w:val="a3"/>
      </w:pPr>
      <w:r w:rsidRPr="00C22B25">
        <w:t>Максимальный объем муниципального долга в течение отчетного периода составлял 1 млрд. 25</w:t>
      </w:r>
      <w:r w:rsidR="00251BC6">
        <w:t>1</w:t>
      </w:r>
      <w:r w:rsidRPr="00C22B25">
        <w:t xml:space="preserve">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 xml:space="preserve">. На обслуживание муниципального долга в </w:t>
      </w:r>
      <w:r w:rsidR="00251BC6">
        <w:t xml:space="preserve">          </w:t>
      </w:r>
      <w:r w:rsidRPr="00C22B25">
        <w:t>1 полу</w:t>
      </w:r>
      <w:r w:rsidR="00251BC6">
        <w:t>годии 2014 года было направлено 4</w:t>
      </w:r>
      <w:r w:rsidRPr="00C22B25">
        <w:t>5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>. На погашение кредитов, полученных от субъекта РФ, было направлено 38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 xml:space="preserve">. На погашение кредитов, предоставленных  кредитными  организациями,  было направлено </w:t>
      </w:r>
      <w:r w:rsidR="00251BC6">
        <w:t xml:space="preserve">         </w:t>
      </w:r>
      <w:r w:rsidRPr="00C22B25">
        <w:t>250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>. Дополнительные кредиты не привлекались.</w:t>
      </w:r>
    </w:p>
    <w:p w:rsidR="00C22B25" w:rsidRPr="00C22B25" w:rsidRDefault="00C22B25" w:rsidP="00C22B25">
      <w:pPr>
        <w:pStyle w:val="a3"/>
      </w:pPr>
      <w:r w:rsidRPr="00C22B25">
        <w:t>По состоянию на 01.07.2014 гарантии, поручительства муниципальным образованием не представлялись. Просроченная кредиторская задолженность отсутствует.</w:t>
      </w:r>
    </w:p>
    <w:p w:rsidR="00C22B25" w:rsidRDefault="00C22B25" w:rsidP="00BC122F">
      <w:pPr>
        <w:pStyle w:val="a3"/>
        <w:rPr>
          <w:bCs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21" w:rsidRDefault="00FE1D21" w:rsidP="0055462A">
      <w:r>
        <w:separator/>
      </w:r>
    </w:p>
  </w:endnote>
  <w:endnote w:type="continuationSeparator" w:id="0">
    <w:p w:rsidR="00FE1D21" w:rsidRDefault="00FE1D2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21" w:rsidRDefault="00FE1D21" w:rsidP="0055462A">
      <w:r>
        <w:separator/>
      </w:r>
    </w:p>
  </w:footnote>
  <w:footnote w:type="continuationSeparator" w:id="0">
    <w:p w:rsidR="00FE1D21" w:rsidRDefault="00FE1D2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36139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70204D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521D5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57431"/>
    <w:rsid w:val="00361392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5FFB"/>
    <w:rsid w:val="00FC35C9"/>
    <w:rsid w:val="00FC4E3B"/>
    <w:rsid w:val="00FC7C8A"/>
    <w:rsid w:val="00FD087B"/>
    <w:rsid w:val="00FD7CC3"/>
    <w:rsid w:val="00FE1D21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50F7-ADC9-4D96-99F8-E0AF62D1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8</cp:revision>
  <cp:lastPrinted>2015-01-20T10:07:00Z</cp:lastPrinted>
  <dcterms:created xsi:type="dcterms:W3CDTF">2015-01-20T10:09:00Z</dcterms:created>
  <dcterms:modified xsi:type="dcterms:W3CDTF">2015-01-20T11:00:00Z</dcterms:modified>
</cp:coreProperties>
</file>